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741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0067-01-2025-002896-90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Уткиной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Уткина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№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21.09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</w:t>
      </w:r>
      <w:r>
        <w:rPr>
          <w:rFonts w:ascii="Times New Roman" w:eastAsia="Times New Roman" w:hAnsi="Times New Roman" w:cs="Times New Roman"/>
          <w:sz w:val="26"/>
          <w:szCs w:val="26"/>
        </w:rPr>
        <w:t>лате не позднее 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Уткина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Уткиной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Уткиной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административной комиссии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21.09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0000000145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Уткиной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Уткиной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Уткину </w:t>
      </w:r>
      <w:r>
        <w:rPr>
          <w:rStyle w:val="cat-UserDefinedgrp-40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</w:t>
      </w:r>
      <w:r>
        <w:rPr>
          <w:rFonts w:ascii="Times New Roman" w:eastAsia="Times New Roman" w:hAnsi="Times New Roman" w:cs="Times New Roman"/>
          <w:sz w:val="26"/>
          <w:szCs w:val="26"/>
        </w:rPr>
        <w:t>ре 2 000 (две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0320063125061788000000029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>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40rplc-40">
    <w:name w:val="cat-UserDefined grp-40 rplc-40"/>
    <w:basedOn w:val="DefaultParagraphFont"/>
  </w:style>
  <w:style w:type="character" w:customStyle="1" w:styleId="cat-UserDefinedgrp-41rplc-53">
    <w:name w:val="cat-UserDefined grp-4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